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527A32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27A32" w:rsidRDefault="00DF121C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527A32" w:rsidRDefault="00DF121C">
            <w:pPr>
              <w:spacing w:after="0" w:line="240" w:lineRule="auto"/>
            </w:pPr>
            <w:r>
              <w:t>48419</w:t>
            </w:r>
          </w:p>
        </w:tc>
      </w:tr>
      <w:tr w:rsidR="00527A32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27A32" w:rsidRDefault="00DF121C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527A32" w:rsidRDefault="00DF121C">
            <w:pPr>
              <w:spacing w:after="0" w:line="240" w:lineRule="auto"/>
            </w:pPr>
            <w:r>
              <w:t>O.Š. KOPRIVNIČKI IVANEC</w:t>
            </w:r>
          </w:p>
        </w:tc>
      </w:tr>
      <w:tr w:rsidR="00527A32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27A32" w:rsidRDefault="00DF121C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527A32" w:rsidRDefault="00DF121C">
            <w:pPr>
              <w:spacing w:after="0" w:line="240" w:lineRule="auto"/>
            </w:pPr>
            <w:r>
              <w:t>31</w:t>
            </w:r>
          </w:p>
        </w:tc>
      </w:tr>
    </w:tbl>
    <w:p w:rsidR="00527A32" w:rsidRDefault="00DF121C">
      <w:r>
        <w:br/>
      </w:r>
    </w:p>
    <w:p w:rsidR="00527A32" w:rsidRDefault="00DF121C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527A32" w:rsidRDefault="00DF121C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527A32" w:rsidRDefault="00DF121C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608.073,77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625.895,48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102,9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672.496,31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625.103,64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93,0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527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791,84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2.180,73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3.698,19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169,6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527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2.180,73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3.698,19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169,6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527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527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66.603,27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2.906,35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4,4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U razdoblju 01.01.2026.-30.06.2026. ostvareni su ukupni prihodi u iznosu od 625.895,48 eura, te ukupni rashodi poslovanja u iznosu od 625.103,64 eura. Manjak prihoda i primitaka  iznosi 2.906,35 eura. </w:t>
      </w:r>
    </w:p>
    <w:p w:rsidR="00527A32" w:rsidRDefault="00DF121C">
      <w:r>
        <w:br/>
      </w:r>
    </w:p>
    <w:p w:rsidR="00527A32" w:rsidRDefault="00DF121C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608.073,77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625.895,48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102,9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Prihodi poslovanja veći su za 17.821,71 e, odnosno za 2,9% u odnosu na isto razdoblje prošle godine. Plaća za 12/2025 ulazi u ovogodišnji proračun, donacije općine, projekti, kako izdaci tako i primici za prehranu.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544.903,04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568.854,28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104,4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Tekuće pomoći proračunskim korisnicima iz proračuna koji im nije nadležan povećane su za 23.951,24 eura, odnosno za 4,4%. Povećanje se odnosi na rast plaća i materijalnih prava zaposlenicima u odnosu na isto razdoblje prošle godine. U ovoj masi se nalazi i sedma plaća jer su knjižene plaće za 12/2025 – 6/2026.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18.070,85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13.028,33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72,1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Tekući prijenosi između proračunskih korisnika istog proračuna temeljem prijenosa EU sredstava manji su za 5.042,52 eura, odnosno za 27,9%. Odstupanje proizlazi iz  dinamike provedbe i financiranja projekata koji se financiraju iz EU sredstava.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5.693,44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2.914,44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51,2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 xml:space="preserve">Ostali nespomenuti prihodi smanjeni su za 2.779,00 eura, odnosno 48,8%. Odstupanje proizlazi iz toga što su prošle godine provedene </w:t>
      </w:r>
      <w:proofErr w:type="spellStart"/>
      <w:r>
        <w:t>izvanučioničke</w:t>
      </w:r>
      <w:proofErr w:type="spellEnd"/>
      <w:r>
        <w:t xml:space="preserve"> nastave koje ove godine nisu provedene.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48,6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Tekuće donacije manje su za 1.090,00 eura, odnosno 51,4%. Smanjenje proizlazi zbog manjeg iznosa donacija pravnih i fizičkih osoba izvan općeg proračuna u odnosu na isto razdoblje prošle godine.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36.341,78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40.062,99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110,2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Prihodi iz nadležnog proračuna za financiranje rashoda poslovanja povećani su za 3.721,21 euro, odnosno 10,2%. Povećanje prihoda proizlazi uslijed porasta prihoda, odnosno rasta cijena.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672.496,31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625.103,64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93,0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Rashodi poslovanja manji su za 47.392,67 eura, odnosno 7%, Najveći utjecaj na smanjenje imali su rashodi za zaposlene koji su manji za 46.514,22 eura.. Materijalni rashodi ostali su približno na razini prethodne godine i manji su za 810,12eura.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588.225,28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541.711,06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92,1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 xml:space="preserve">Rashodi za zaposlene smanjeni su za 46.514,22 eura, odnosno 7,9% Najveće smanjenje evidentirano je na plaćama za prekovremeni rad u iznosu 28.259,01 eura, plaćama za redovan </w:t>
      </w:r>
      <w:r>
        <w:lastRenderedPageBreak/>
        <w:t>rad u iznosu 13.397,95 eura i doprinosima na plaće u iznosu 7.403,70 eura. Ostali rashodi za zaposlene su uvećani.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84.202,34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83.392,22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99,0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Materijalni ras</w:t>
      </w:r>
      <w:r w:rsidR="00F641E7">
        <w:t>h</w:t>
      </w:r>
      <w:r>
        <w:t>odi smanjeni su za 810,12 eura, odnosno 1,0% te su ostali približno na razini pret</w:t>
      </w:r>
      <w:r w:rsidR="00F641E7">
        <w:t>h</w:t>
      </w:r>
      <w:r>
        <w:t>odne godine. Povećani su rashodi za usluge za 7.298,24 eura, rashodi za materijal i energiju su smanjeni za 2.836,64 eura, naknade troškova zaposlenima za 1.369,17 eura, te ostali nespomenuti rashodi poslovanja za 3.902,55 eura.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15.416,26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22.714,50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147,3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Rashodi za usluge povećani su za 7.298,24 eura, odnosno 47,3%. Rast je evidentiran kod intelektualnih usluga i osobnih usluga u iznosu od 3.474,63 eura, ostalih usluga u iznosu 3.543,87 eura te usluga tekućeg i investicijskog održavanja u iznosu od 1.956,03 eura. Povećanje je povezano sa znatno povećanim cijenama usluga u odnosu na prošlu godinu.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14.390,90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10.488,35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72,9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Ostali nespomenuti rashodi poslovanja smanjeni su za 3.902,55 eura, odnosno 27,1%. Smanjenje proizlazi zbog nižih rashoda reprezentacije,1.680,99 eura i ostalih nespomenutih rashoda poslovanja, 1.995,06 eura.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3.613,00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6518,1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Dolazi do povećanja jer je kupljena interaktivni digitalni asistent (ploča) i TV za područnu školu.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14.850,07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Naknade za prijevoz na posao i s posla iznose 14.850,07 eura i odnose se na prijevoz i oporezivi prijevoz za zaposlene kao i prijevoz za pomoćnike u nastavi.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546.567,20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Plaće i materijalna prava knjižena su u razdoblju 01.01.2026.-30.06.2026. godini u iznosu 54.567,20 eura.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materijalne rashode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82.399,76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Obveze za materijalne rashode u razdoblju 01.01.2026.-30.06.2026. godini iznose 82.399,76 eura.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3.698,19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Obveze za nabavu nefinancijske imovine u razdoblju 01.01.2026.-30.06.2026. godini iznose 3.698,19 eura.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7.839,91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Obveza proračunskog korisnika za povrat u proračun - bolovanje HZZZO , od 01.01.2026.-30.06.2026. iznosi 7.839,91 euro.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527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100.617,85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Nepodmirene obveze odnose se na plaće za lipanj 2026. godinu, materijalne rashode za lipanj (plaćanje u srpnju 2026. godine), obveze za povrat u proračun - bolovanja HZZO.</w:t>
      </w:r>
    </w:p>
    <w:p w:rsidR="00527A32" w:rsidRDefault="00527A32"/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27A32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27A32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527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27A32" w:rsidRDefault="00DF121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27A32" w:rsidRDefault="00527A32">
      <w:pPr>
        <w:spacing w:after="0"/>
      </w:pPr>
    </w:p>
    <w:p w:rsidR="00527A32" w:rsidRDefault="00DF121C">
      <w:r>
        <w:t>Stanje dospjelih obveza na kraju izvještajnog razdoblja iznosi 0,00 eura. Povrati i knjiženja obveza za povrat u proračun HZZO-a su provedena prilikom primitka tablica od strane HZZO-a.</w:t>
      </w:r>
    </w:p>
    <w:p w:rsidR="00DF121C" w:rsidRDefault="00DF121C" w:rsidP="00F641E7">
      <w:pPr>
        <w:keepNext/>
        <w:spacing w:line="240" w:lineRule="auto"/>
        <w:rPr>
          <w:sz w:val="28"/>
        </w:rPr>
      </w:pPr>
    </w:p>
    <w:p w:rsidR="00F641E7" w:rsidRDefault="00F641E7" w:rsidP="00F641E7">
      <w:pPr>
        <w:keepNext/>
        <w:spacing w:line="240" w:lineRule="auto"/>
        <w:rPr>
          <w:sz w:val="28"/>
        </w:rPr>
      </w:pPr>
    </w:p>
    <w:p w:rsidR="00DF121C" w:rsidRDefault="00DF121C">
      <w:pPr>
        <w:keepNext/>
        <w:spacing w:line="240" w:lineRule="auto"/>
        <w:jc w:val="center"/>
        <w:rPr>
          <w:sz w:val="28"/>
        </w:rPr>
      </w:pPr>
    </w:p>
    <w:p w:rsidR="00527A32" w:rsidRDefault="00DF121C">
      <w:pPr>
        <w:keepNext/>
        <w:spacing w:line="240" w:lineRule="auto"/>
        <w:jc w:val="center"/>
      </w:pPr>
      <w:r>
        <w:rPr>
          <w:sz w:val="28"/>
        </w:rPr>
        <w:t>Bilješka 21.</w:t>
      </w:r>
    </w:p>
    <w:p w:rsidR="00DF121C" w:rsidRDefault="00DF121C">
      <w:pPr>
        <w:spacing w:line="240" w:lineRule="auto"/>
        <w:jc w:val="both"/>
        <w:rPr>
          <w:b/>
        </w:rPr>
      </w:pPr>
    </w:p>
    <w:p w:rsidR="00DF121C" w:rsidRDefault="00DF121C">
      <w:pPr>
        <w:spacing w:line="240" w:lineRule="auto"/>
        <w:jc w:val="both"/>
        <w:rPr>
          <w:b/>
        </w:rPr>
      </w:pPr>
    </w:p>
    <w:p w:rsidR="00527A32" w:rsidRDefault="00DF121C">
      <w:pPr>
        <w:spacing w:line="240" w:lineRule="auto"/>
        <w:jc w:val="both"/>
      </w:pPr>
      <w:r>
        <w:rPr>
          <w:b/>
        </w:rPr>
        <w:t>EU izvještaj</w:t>
      </w:r>
    </w:p>
    <w:p w:rsidR="00527A32" w:rsidRDefault="00DF121C">
      <w:r>
        <w:t>Škola pr</w:t>
      </w:r>
      <w:r w:rsidR="00F641E7">
        <w:t>ovodi dva programa putem EU sre</w:t>
      </w:r>
      <w:r>
        <w:t xml:space="preserve">dstava. Prilika za </w:t>
      </w:r>
      <w:r w:rsidR="00F641E7">
        <w:t>sve 7 i Školska shema 2025./202</w:t>
      </w:r>
      <w:bookmarkStart w:id="0" w:name="_GoBack"/>
      <w:bookmarkEnd w:id="0"/>
      <w:r>
        <w:t>6.</w:t>
      </w:r>
    </w:p>
    <w:p w:rsidR="00527A32" w:rsidRDefault="00DF121C">
      <w:r>
        <w:t>U okviru Prilike a sve 7, ostvareno je prihoda u visini 11.844,57 eura te rashoda za bruto plaće 7.162,02 eura, doprinosi na plaće 1.181,75 eura te troškovi prijevoza u visini 919,99 eura. Ukupan rashod iznosi 9.878,76 eura. U sklopu projekta Prilika za sve 7, zaposlene su tri pomoćnice u nastavi.</w:t>
      </w:r>
    </w:p>
    <w:p w:rsidR="00527A32" w:rsidRDefault="00DF121C">
      <w:r>
        <w:t>U okviru projekta Školska shema 2025./2026. provodi se dodatak prehrani učenika matične i područne škole u obliku mlijeka i mliječnih proizvoda te voća i povrća i njihovih prerađevina. U izvještajnom razdoblju ostvareno je 1.183,76 eura prihoda i 1.082,33 eura rashoda.</w:t>
      </w:r>
    </w:p>
    <w:p w:rsidR="00527A32" w:rsidRDefault="00527A32"/>
    <w:sectPr w:rsidR="00527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7A32"/>
    <w:rsid w:val="00527A32"/>
    <w:rsid w:val="00DF121C"/>
    <w:rsid w:val="00F6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36AD"/>
  <w15:docId w15:val="{867FE643-FC76-473E-9CEF-115889FA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1493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Tajnik</cp:lastModifiedBy>
  <cp:revision>4</cp:revision>
  <dcterms:created xsi:type="dcterms:W3CDTF">2026-07-13T12:52:00Z</dcterms:created>
  <dcterms:modified xsi:type="dcterms:W3CDTF">2026-07-28T11:57:00Z</dcterms:modified>
</cp:coreProperties>
</file>